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6" w:rsidRPr="00D622E8" w:rsidRDefault="00D622E8" w:rsidP="00D622E8">
      <w:pPr>
        <w:jc w:val="center"/>
        <w:rPr>
          <w:sz w:val="24"/>
          <w:szCs w:val="24"/>
        </w:rPr>
      </w:pPr>
      <w:r w:rsidRPr="00D622E8">
        <w:rPr>
          <w:sz w:val="24"/>
          <w:szCs w:val="24"/>
        </w:rPr>
        <w:t>Supporting Information</w:t>
      </w:r>
    </w:p>
    <w:p w:rsidR="00D622E8" w:rsidRDefault="00D622E8" w:rsidP="00D622E8">
      <w:pPr>
        <w:suppressLineNumbers/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D622E8">
        <w:rPr>
          <w:b/>
          <w:sz w:val="24"/>
          <w:szCs w:val="24"/>
          <w:lang w:val="en-GB"/>
        </w:rPr>
        <w:t>Strategies for determining kinship in wild populations using genetic data</w:t>
      </w:r>
    </w:p>
    <w:p w:rsidR="00D622E8" w:rsidRPr="00D622E8" w:rsidRDefault="00D622E8" w:rsidP="00D622E8">
      <w:pPr>
        <w:suppressLineNumbers/>
        <w:spacing w:after="0" w:line="480" w:lineRule="auto"/>
        <w:jc w:val="center"/>
        <w:rPr>
          <w:i/>
          <w:sz w:val="24"/>
          <w:szCs w:val="24"/>
          <w:lang w:val="en-GB"/>
        </w:rPr>
      </w:pPr>
      <w:r w:rsidRPr="00D622E8">
        <w:rPr>
          <w:i/>
          <w:sz w:val="24"/>
          <w:szCs w:val="24"/>
          <w:lang w:val="en-GB"/>
        </w:rPr>
        <w:t>Ecology and Evolution</w:t>
      </w:r>
      <w:bookmarkStart w:id="0" w:name="_GoBack"/>
      <w:bookmarkEnd w:id="0"/>
    </w:p>
    <w:p w:rsidR="00D622E8" w:rsidRDefault="00D622E8" w:rsidP="00366AD3">
      <w:pPr>
        <w:spacing w:after="0" w:line="360" w:lineRule="auto"/>
        <w:rPr>
          <w:b/>
        </w:rPr>
      </w:pPr>
    </w:p>
    <w:p w:rsidR="00F15E6B" w:rsidRDefault="009E7C6A" w:rsidP="00366AD3">
      <w:pPr>
        <w:spacing w:after="0" w:line="360" w:lineRule="auto"/>
      </w:pPr>
      <w:r w:rsidRPr="009E7C6A">
        <w:rPr>
          <w:b/>
        </w:rPr>
        <w:t xml:space="preserve">Table </w:t>
      </w:r>
      <w:proofErr w:type="spellStart"/>
      <w:r w:rsidRPr="009E7C6A">
        <w:rPr>
          <w:b/>
        </w:rPr>
        <w:t>S1</w:t>
      </w:r>
      <w:proofErr w:type="spellEnd"/>
      <w:r>
        <w:t xml:space="preserve"> Number</w:t>
      </w:r>
      <w:r w:rsidR="0046413C">
        <w:t>s</w:t>
      </w:r>
      <w:r>
        <w:t xml:space="preserve"> of microsatellites (</w:t>
      </w:r>
      <w:proofErr w:type="spellStart"/>
      <w:r>
        <w:t>STRs</w:t>
      </w:r>
      <w:proofErr w:type="spellEnd"/>
      <w:r>
        <w:t xml:space="preserve">) </w:t>
      </w:r>
      <w:r w:rsidR="0005469A">
        <w:t>and single-nucle</w:t>
      </w:r>
      <w:r>
        <w:t>otide</w:t>
      </w:r>
      <w:r w:rsidR="00F15E6B">
        <w:t xml:space="preserve"> </w:t>
      </w:r>
      <w:r>
        <w:t>polymorphisms</w:t>
      </w:r>
      <w:r w:rsidR="00F15E6B">
        <w:t xml:space="preserve"> (SNPs)</w:t>
      </w:r>
    </w:p>
    <w:p w:rsidR="009E7C6A" w:rsidRDefault="0046413C" w:rsidP="00366AD3">
      <w:pPr>
        <w:spacing w:after="0" w:line="360" w:lineRule="auto"/>
      </w:pPr>
      <w:proofErr w:type="gramStart"/>
      <w:r>
        <w:t>with</w:t>
      </w:r>
      <w:proofErr w:type="gramEnd"/>
      <w:r>
        <w:t xml:space="preserve"> equal power </w:t>
      </w:r>
      <w:r w:rsidR="00F15E6B">
        <w:t>for</w:t>
      </w:r>
      <w:r>
        <w:t xml:space="preserve"> kinship analyses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976"/>
      </w:tblGrid>
      <w:tr w:rsidR="009E7C6A" w:rsidRPr="009E7C6A" w:rsidTr="00366AD3">
        <w:trPr>
          <w:trHeight w:val="32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 xml:space="preserve">Number of </w:t>
            </w:r>
            <w:proofErr w:type="spellStart"/>
            <w:r w:rsidRPr="009E7C6A">
              <w:rPr>
                <w:rFonts w:eastAsia="Times New Roman" w:cs="Times New Roman"/>
                <w:color w:val="000000"/>
              </w:rPr>
              <w:t>STRs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Number of SNPs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>Wang &amp; Santure 2009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Glaubitz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2003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Herráez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2005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Rohrer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2007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Hauser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2011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Sellars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2014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Sellars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2014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Morin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2004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Weinman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2015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Telfer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2015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E7C6A" w:rsidRPr="009E7C6A" w:rsidRDefault="009E7C6A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Steele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2013</w:t>
            </w:r>
          </w:p>
        </w:tc>
      </w:tr>
      <w:tr w:rsidR="00366AD3" w:rsidRPr="009E7C6A" w:rsidTr="00366AD3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</w:tcPr>
          <w:p w:rsidR="00366AD3" w:rsidRPr="009E7C6A" w:rsidRDefault="00366AD3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66AD3" w:rsidRPr="009E7C6A" w:rsidRDefault="00366AD3" w:rsidP="00366AD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366AD3" w:rsidRPr="009E7C6A" w:rsidRDefault="00366AD3" w:rsidP="00366AD3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9E7C6A">
              <w:rPr>
                <w:rFonts w:eastAsia="Times New Roman" w:cs="Times New Roman"/>
                <w:noProof/>
                <w:color w:val="000000"/>
              </w:rPr>
              <w:t xml:space="preserve">Glaubitz </w:t>
            </w:r>
            <w:r w:rsidRPr="009E7C6A">
              <w:rPr>
                <w:rFonts w:eastAsia="Times New Roman" w:cs="Times New Roman"/>
                <w:i/>
                <w:noProof/>
                <w:color w:val="000000"/>
              </w:rPr>
              <w:t>et al.</w:t>
            </w:r>
            <w:r w:rsidRPr="009E7C6A">
              <w:rPr>
                <w:rFonts w:eastAsia="Times New Roman" w:cs="Times New Roman"/>
                <w:noProof/>
                <w:color w:val="000000"/>
              </w:rPr>
              <w:t xml:space="preserve"> 2003</w:t>
            </w:r>
          </w:p>
        </w:tc>
      </w:tr>
    </w:tbl>
    <w:p w:rsidR="009E7C6A" w:rsidRPr="009E7C6A" w:rsidRDefault="009E7C6A" w:rsidP="00366AD3">
      <w:pPr>
        <w:spacing w:line="360" w:lineRule="auto"/>
      </w:pPr>
    </w:p>
    <w:p w:rsidR="009E7C6A" w:rsidRPr="009E7C6A" w:rsidRDefault="009E7C6A">
      <w:pPr>
        <w:pStyle w:val="NormalWeb"/>
        <w:ind w:left="480" w:hanging="480"/>
        <w:divId w:val="1867207083"/>
        <w:rPr>
          <w:rFonts w:asciiTheme="minorHAnsi" w:hAnsiTheme="minorHAnsi"/>
          <w:b/>
        </w:rPr>
      </w:pPr>
      <w:r w:rsidRPr="009E7C6A">
        <w:rPr>
          <w:rFonts w:asciiTheme="minorHAnsi" w:hAnsiTheme="minorHAnsi"/>
          <w:b/>
        </w:rPr>
        <w:t>References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Glaubitz, J.C., Rhodes, O.E. &amp; Dewoody, J.A. (2003). Prospects for inferring pairwise relationships with single nucleotide polymorphisms. </w:t>
      </w:r>
      <w:r w:rsidRPr="009E7C6A">
        <w:rPr>
          <w:rFonts w:asciiTheme="minorHAnsi" w:hAnsiTheme="minorHAnsi"/>
          <w:i/>
          <w:iCs/>
          <w:noProof/>
          <w:sz w:val="22"/>
        </w:rPr>
        <w:t>Molecular Ecology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12</w:t>
      </w:r>
      <w:r w:rsidRPr="009E7C6A">
        <w:rPr>
          <w:rFonts w:asciiTheme="minorHAnsi" w:hAnsiTheme="minorHAnsi"/>
          <w:noProof/>
          <w:sz w:val="22"/>
        </w:rPr>
        <w:t>, 1039–1047.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>Hauser, L., Baird, M., Hilborn, R., Seeb, L.W. &amp; Seeb, J.E. (2011). An empirical comparison of SNPs and microsatellites for parentage and kinship assignment in a wild sockeye salmon (</w:t>
      </w:r>
      <w:r w:rsidRPr="00D622E8">
        <w:rPr>
          <w:rFonts w:asciiTheme="minorHAnsi" w:hAnsiTheme="minorHAnsi"/>
          <w:i/>
          <w:noProof/>
          <w:sz w:val="22"/>
        </w:rPr>
        <w:t>Oncorhynchus nerka</w:t>
      </w:r>
      <w:r w:rsidRPr="009E7C6A">
        <w:rPr>
          <w:rFonts w:asciiTheme="minorHAnsi" w:hAnsiTheme="minorHAnsi"/>
          <w:noProof/>
          <w:sz w:val="22"/>
        </w:rPr>
        <w:t xml:space="preserve">) population. </w:t>
      </w:r>
      <w:r w:rsidRPr="009E7C6A">
        <w:rPr>
          <w:rFonts w:asciiTheme="minorHAnsi" w:hAnsiTheme="minorHAnsi"/>
          <w:i/>
          <w:iCs/>
          <w:noProof/>
          <w:sz w:val="22"/>
        </w:rPr>
        <w:t>Molecular Ecology Resources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11</w:t>
      </w:r>
      <w:r w:rsidRPr="009E7C6A">
        <w:rPr>
          <w:rFonts w:asciiTheme="minorHAnsi" w:hAnsiTheme="minorHAnsi"/>
          <w:noProof/>
          <w:sz w:val="22"/>
        </w:rPr>
        <w:t>, 150–61.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Herráez, D.L., Schäfer, H., Mosner, J., Fries, H.R. &amp; Wink, M. (2005). Comparison of microsatellite and single nucleotide polymorphism markers for the genetic analysis of a galloway cattle population. </w:t>
      </w:r>
      <w:r w:rsidRPr="009E7C6A">
        <w:rPr>
          <w:rFonts w:asciiTheme="minorHAnsi" w:hAnsiTheme="minorHAnsi"/>
          <w:i/>
          <w:iCs/>
          <w:noProof/>
          <w:sz w:val="22"/>
        </w:rPr>
        <w:t>Zeitschrift fur Naturforschung - Section C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60</w:t>
      </w:r>
      <w:r w:rsidRPr="009E7C6A">
        <w:rPr>
          <w:rFonts w:asciiTheme="minorHAnsi" w:hAnsiTheme="minorHAnsi"/>
          <w:noProof/>
          <w:sz w:val="22"/>
        </w:rPr>
        <w:t>, 637–643.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lastRenderedPageBreak/>
        <w:t xml:space="preserve">Morin, P. a., Luikart, G. &amp; Wayne, R.K. (2004). SNPs in ecology, evolution and conservation. </w:t>
      </w:r>
      <w:r w:rsidRPr="009E7C6A">
        <w:rPr>
          <w:rFonts w:asciiTheme="minorHAnsi" w:hAnsiTheme="minorHAnsi"/>
          <w:i/>
          <w:iCs/>
          <w:noProof/>
          <w:sz w:val="22"/>
        </w:rPr>
        <w:t>Trends in Ecology and Evolution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19</w:t>
      </w:r>
      <w:r w:rsidRPr="009E7C6A">
        <w:rPr>
          <w:rFonts w:asciiTheme="minorHAnsi" w:hAnsiTheme="minorHAnsi"/>
          <w:noProof/>
          <w:sz w:val="22"/>
        </w:rPr>
        <w:t>, 208–216.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Rohrer, G.A., Freking, B.A. &amp; Nonneman, D. (2007). Single nucleotide polymorphisms for pig identification and parentage exclusion. </w:t>
      </w:r>
      <w:r w:rsidRPr="009E7C6A">
        <w:rPr>
          <w:rFonts w:asciiTheme="minorHAnsi" w:hAnsiTheme="minorHAnsi"/>
          <w:i/>
          <w:iCs/>
          <w:noProof/>
          <w:sz w:val="22"/>
        </w:rPr>
        <w:t>Animal Genetics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38</w:t>
      </w:r>
      <w:r w:rsidRPr="009E7C6A">
        <w:rPr>
          <w:rFonts w:asciiTheme="minorHAnsi" w:hAnsiTheme="minorHAnsi"/>
          <w:noProof/>
          <w:sz w:val="22"/>
        </w:rPr>
        <w:t>, 253–258.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Sellars, M.J., Dierens, L., Mcwilliam, S., Little, B., Murphy, B., Coman, G.J., Barendse, W. &amp; Henshall, J. (2014). Comparison of microsatellite and SNP DNA markers for pedigree assignment in Black Tiger shrimp, </w:t>
      </w:r>
      <w:r w:rsidRPr="00D622E8">
        <w:rPr>
          <w:rFonts w:asciiTheme="minorHAnsi" w:hAnsiTheme="minorHAnsi"/>
          <w:i/>
          <w:noProof/>
          <w:sz w:val="22"/>
        </w:rPr>
        <w:t>Penaeus monodon</w:t>
      </w:r>
      <w:r w:rsidRPr="009E7C6A">
        <w:rPr>
          <w:rFonts w:asciiTheme="minorHAnsi" w:hAnsiTheme="minorHAnsi"/>
          <w:noProof/>
          <w:sz w:val="22"/>
        </w:rPr>
        <w:t xml:space="preserve">. </w:t>
      </w:r>
      <w:r w:rsidRPr="009E7C6A">
        <w:rPr>
          <w:rFonts w:asciiTheme="minorHAnsi" w:hAnsiTheme="minorHAnsi"/>
          <w:i/>
          <w:iCs/>
          <w:noProof/>
          <w:sz w:val="22"/>
        </w:rPr>
        <w:t>Aquaculture Research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45</w:t>
      </w:r>
      <w:r w:rsidRPr="009E7C6A">
        <w:rPr>
          <w:rFonts w:asciiTheme="minorHAnsi" w:hAnsiTheme="minorHAnsi"/>
          <w:noProof/>
          <w:sz w:val="22"/>
        </w:rPr>
        <w:t>, 417–426.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Steele, C., Anderson, E., Ackerman, M., Hess, M., Campbell, N., Narum, S. &amp; Campbell, M. (2013). A validation of parentage-based tagging using hatchery steelhead in the Snake River basin. </w:t>
      </w:r>
      <w:r w:rsidRPr="009E7C6A">
        <w:rPr>
          <w:rFonts w:asciiTheme="minorHAnsi" w:hAnsiTheme="minorHAnsi"/>
          <w:i/>
          <w:iCs/>
          <w:noProof/>
          <w:sz w:val="22"/>
        </w:rPr>
        <w:t>Journal of Fisheries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1054</w:t>
      </w:r>
      <w:r w:rsidRPr="009E7C6A">
        <w:rPr>
          <w:rFonts w:asciiTheme="minorHAnsi" w:hAnsiTheme="minorHAnsi"/>
          <w:noProof/>
          <w:sz w:val="22"/>
        </w:rPr>
        <w:t>, 1046–1054.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Telfer, E.J., Stovold, G.T., Li, Y., Silva-Junior, O.B., Grattapaglia, D.G. &amp; Dungey, H.S. (2015). Parentage Reconstruction in </w:t>
      </w:r>
      <w:r w:rsidRPr="00D622E8">
        <w:rPr>
          <w:rFonts w:asciiTheme="minorHAnsi" w:hAnsiTheme="minorHAnsi"/>
          <w:i/>
          <w:noProof/>
          <w:sz w:val="22"/>
        </w:rPr>
        <w:t>Eucalyptus nitens</w:t>
      </w:r>
      <w:r w:rsidRPr="009E7C6A">
        <w:rPr>
          <w:rFonts w:asciiTheme="minorHAnsi" w:hAnsiTheme="minorHAnsi"/>
          <w:noProof/>
          <w:sz w:val="22"/>
        </w:rPr>
        <w:t xml:space="preserve"> Using SNPs and Microsatellite Markers: A Comparative Analysis of Marker Data Power and Robustness. </w:t>
      </w:r>
      <w:r w:rsidRPr="009E7C6A">
        <w:rPr>
          <w:rFonts w:asciiTheme="minorHAnsi" w:hAnsiTheme="minorHAnsi"/>
          <w:i/>
          <w:iCs/>
          <w:noProof/>
          <w:sz w:val="22"/>
        </w:rPr>
        <w:t>Plos One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10</w:t>
      </w:r>
      <w:r w:rsidRPr="009E7C6A">
        <w:rPr>
          <w:rFonts w:asciiTheme="minorHAnsi" w:hAnsiTheme="minorHAnsi"/>
          <w:noProof/>
          <w:sz w:val="22"/>
        </w:rPr>
        <w:t>, e0130601.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Wang, J. &amp; Santure, A.W. (2009). Parentage and sibship inference from multilocus genotype data under polygamy. </w:t>
      </w:r>
      <w:r w:rsidRPr="009E7C6A">
        <w:rPr>
          <w:rFonts w:asciiTheme="minorHAnsi" w:hAnsiTheme="minorHAnsi"/>
          <w:i/>
          <w:iCs/>
          <w:noProof/>
          <w:sz w:val="22"/>
        </w:rPr>
        <w:t>Genetics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181</w:t>
      </w:r>
      <w:r w:rsidRPr="009E7C6A">
        <w:rPr>
          <w:rFonts w:asciiTheme="minorHAnsi" w:hAnsiTheme="minorHAnsi"/>
          <w:noProof/>
          <w:sz w:val="22"/>
        </w:rPr>
        <w:t>, 1579–1594.</w:t>
      </w:r>
    </w:p>
    <w:p w:rsidR="009E7C6A" w:rsidRPr="009E7C6A" w:rsidRDefault="009E7C6A" w:rsidP="00952398">
      <w:pPr>
        <w:pStyle w:val="NormalWeb"/>
        <w:ind w:left="480" w:hanging="480"/>
        <w:jc w:val="both"/>
        <w:divId w:val="1867207083"/>
        <w:rPr>
          <w:rFonts w:asciiTheme="minorHAnsi" w:hAnsiTheme="minorHAnsi"/>
          <w:noProof/>
          <w:sz w:val="22"/>
        </w:rPr>
      </w:pPr>
      <w:r w:rsidRPr="009E7C6A">
        <w:rPr>
          <w:rFonts w:asciiTheme="minorHAnsi" w:hAnsiTheme="minorHAnsi"/>
          <w:noProof/>
          <w:sz w:val="22"/>
        </w:rPr>
        <w:t xml:space="preserve">Weinman, L.R., Solomon, J.W. &amp; Rubenstein, D.R. (2015). A comparison of single nucleotide polymorphism and microsatellite markers for analysis of parentage and kinship in a cooperatively breeding bird. </w:t>
      </w:r>
      <w:r w:rsidRPr="009E7C6A">
        <w:rPr>
          <w:rFonts w:asciiTheme="minorHAnsi" w:hAnsiTheme="minorHAnsi"/>
          <w:i/>
          <w:iCs/>
          <w:noProof/>
          <w:sz w:val="22"/>
        </w:rPr>
        <w:t>Molecular Ecology Resources</w:t>
      </w:r>
      <w:r w:rsidRPr="009E7C6A">
        <w:rPr>
          <w:rFonts w:asciiTheme="minorHAnsi" w:hAnsiTheme="minorHAnsi"/>
          <w:noProof/>
          <w:sz w:val="22"/>
        </w:rPr>
        <w:t xml:space="preserve">, </w:t>
      </w:r>
      <w:r w:rsidRPr="009E7C6A">
        <w:rPr>
          <w:rFonts w:asciiTheme="minorHAnsi" w:hAnsiTheme="minorHAnsi"/>
          <w:b/>
          <w:bCs/>
          <w:noProof/>
          <w:sz w:val="22"/>
        </w:rPr>
        <w:t>15</w:t>
      </w:r>
      <w:r w:rsidRPr="009E7C6A">
        <w:rPr>
          <w:rFonts w:asciiTheme="minorHAnsi" w:hAnsiTheme="minorHAnsi"/>
          <w:noProof/>
          <w:sz w:val="22"/>
        </w:rPr>
        <w:t>, 502–511.</w:t>
      </w:r>
    </w:p>
    <w:p w:rsidR="009E7C6A" w:rsidRPr="009E7C6A" w:rsidRDefault="009E7C6A" w:rsidP="009E7C6A">
      <w:pPr>
        <w:pStyle w:val="NormalWeb"/>
        <w:ind w:left="480" w:hanging="480"/>
        <w:divId w:val="1738867932"/>
        <w:rPr>
          <w:rFonts w:asciiTheme="minorHAnsi" w:hAnsiTheme="minorHAnsi"/>
        </w:rPr>
      </w:pPr>
    </w:p>
    <w:p w:rsidR="009E7C6A" w:rsidRPr="009E7C6A" w:rsidRDefault="009E7C6A"/>
    <w:sectPr w:rsidR="009E7C6A" w:rsidRPr="009E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A"/>
    <w:rsid w:val="0005469A"/>
    <w:rsid w:val="000D7770"/>
    <w:rsid w:val="00366AD3"/>
    <w:rsid w:val="00373164"/>
    <w:rsid w:val="0046413C"/>
    <w:rsid w:val="00952398"/>
    <w:rsid w:val="009E7C6A"/>
    <w:rsid w:val="00A9189B"/>
    <w:rsid w:val="00D622E8"/>
    <w:rsid w:val="00F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EBC3-5403-48F5-A172-E1C8E27A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Staedele</dc:creator>
  <cp:lastModifiedBy>Veronika Staedele</cp:lastModifiedBy>
  <cp:revision>6</cp:revision>
  <dcterms:created xsi:type="dcterms:W3CDTF">2016-02-12T10:17:00Z</dcterms:created>
  <dcterms:modified xsi:type="dcterms:W3CDTF">2016-03-09T16:52:00Z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http://www.zotero.org/styles/methods-in-ecology-and-evolution</vt:lpwstr>
  </property>
  <property fmtid="{D5CDD505-2E9C-101B-9397-08002B2CF9AE}" pid="3" name="Mendeley Document_1">
    <vt:lpwstr>True</vt:lpwstr>
  </property>
  <property fmtid="{D5CDD505-2E9C-101B-9397-08002B2CF9AE}" pid="4" name="Mendeley User Name_1">
    <vt:lpwstr>vrst@gmx.de@www.mendeley.com</vt:lpwstr>
  </property>
  <property fmtid="{D5CDD505-2E9C-101B-9397-08002B2CF9AE}" pid="5" name="Mendeley Recent Style Id 0_1">
    <vt:lpwstr>http://www.zotero.org/styles/american-journal-of-primatology</vt:lpwstr>
  </property>
  <property fmtid="{D5CDD505-2E9C-101B-9397-08002B2CF9AE}" pid="6" name="Mendeley Recent Style Name 0_1">
    <vt:lpwstr>American Journal of Primatology</vt:lpwstr>
  </property>
  <property fmtid="{D5CDD505-2E9C-101B-9397-08002B2CF9AE}" pid="7" name="Mendeley Recent Style Id 1_1">
    <vt:lpwstr>http://www.zotero.org/styles/elsevier-with-titles</vt:lpwstr>
  </property>
  <property fmtid="{D5CDD505-2E9C-101B-9397-08002B2CF9AE}" pid="8" name="Mendeley Recent Style Name 1_1">
    <vt:lpwstr>Elsevier (numeric, with titles)</vt:lpwstr>
  </property>
  <property fmtid="{D5CDD505-2E9C-101B-9397-08002B2CF9AE}" pid="9" name="Mendeley Recent Style Id 2_1">
    <vt:lpwstr>http://csl.mendeley.com/styles/3954531/elsevier-harvard</vt:lpwstr>
  </property>
  <property fmtid="{D5CDD505-2E9C-101B-9397-08002B2CF9AE}" pid="10" name="Mendeley Recent Style Name 2_1">
    <vt:lpwstr>Elsevier Harvard (with titles) - Veronika Städele</vt:lpwstr>
  </property>
  <property fmtid="{D5CDD505-2E9C-101B-9397-08002B2CF9AE}" pid="11" name="Mendeley Recent Style Id 3_1">
    <vt:lpwstr>http://www.zotero.org/styles/elsevier-harvard-without-titles</vt:lpwstr>
  </property>
  <property fmtid="{D5CDD505-2E9C-101B-9397-08002B2CF9AE}" pid="12" name="Mendeley Recent Style Name 3_1">
    <vt:lpwstr>Elsevier Harvard (without titles)</vt:lpwstr>
  </property>
  <property fmtid="{D5CDD505-2E9C-101B-9397-08002B2CF9AE}" pid="13" name="Mendeley Recent Style Id 4_1">
    <vt:lpwstr>http://www.zotero.org/styles/elsevier-harvard2</vt:lpwstr>
  </property>
  <property fmtid="{D5CDD505-2E9C-101B-9397-08002B2CF9AE}" pid="14" name="Mendeley Recent Style Name 4_1">
    <vt:lpwstr>Elsevier Harvard 2</vt:lpwstr>
  </property>
  <property fmtid="{D5CDD505-2E9C-101B-9397-08002B2CF9AE}" pid="15" name="Mendeley Recent Style Id 5_1">
    <vt:lpwstr>http://www.zotero.org/styles/elsevier-vancouver</vt:lpwstr>
  </property>
  <property fmtid="{D5CDD505-2E9C-101B-9397-08002B2CF9AE}" pid="16" name="Mendeley Recent Style Name 5_1">
    <vt:lpwstr>Elsevier Vancouver</vt:lpwstr>
  </property>
  <property fmtid="{D5CDD505-2E9C-101B-9397-08002B2CF9AE}" pid="17" name="Mendeley Recent Style Id 6_1">
    <vt:lpwstr>http://www.zotero.org/styles/harvard-university-of-greenwich</vt:lpwstr>
  </property>
  <property fmtid="{D5CDD505-2E9C-101B-9397-08002B2CF9AE}" pid="18" name="Mendeley Recent Style Name 6_1">
    <vt:lpwstr>Harvard - University of Greenwich</vt:lpwstr>
  </property>
  <property fmtid="{D5CDD505-2E9C-101B-9397-08002B2CF9AE}" pid="19" name="Mendeley Recent Style Id 7_1">
    <vt:lpwstr>http://www.zotero.org/styles/journal-of-human-evolution</vt:lpwstr>
  </property>
  <property fmtid="{D5CDD505-2E9C-101B-9397-08002B2CF9AE}" pid="20" name="Mendeley Recent Style Name 7_1">
    <vt:lpwstr>Journal of Human Evolution</vt:lpwstr>
  </property>
  <property fmtid="{D5CDD505-2E9C-101B-9397-08002B2CF9AE}" pid="21" name="Mendeley Recent Style Id 8_1">
    <vt:lpwstr>http://www.zotero.org/styles/methods-in-ecology-and-evolution</vt:lpwstr>
  </property>
  <property fmtid="{D5CDD505-2E9C-101B-9397-08002B2CF9AE}" pid="22" name="Mendeley Recent Style Name 8_1">
    <vt:lpwstr>Methods in Ecology and Evolution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